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Lesson 1-5 Vocabulary &amp; Vocabulary Rating Scale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- human-fueled energy park - Sustainable Person Powered Areas [SPPA]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Lesson1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criteria 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rtl w:val="0"/>
        </w:rPr>
        <w:t xml:space="preserve">and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constraints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Lesson 2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Site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Geothermal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Renewable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Lesson 3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Lesson 4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model and prototype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rtl w:val="0"/>
        </w:rPr>
        <w:t xml:space="preserve">Archimedes screw (only some groups will be interested in this term, if they have access to water)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1140"/>
        <w:gridCol w:w="1365"/>
        <w:gridCol w:w="1020"/>
        <w:gridCol w:w="5115"/>
        <w:tblGridChange w:id="0">
          <w:tblGrid>
            <w:gridCol w:w="2160"/>
            <w:gridCol w:w="1140"/>
            <w:gridCol w:w="1365"/>
            <w:gridCol w:w="1020"/>
            <w:gridCol w:w="5115"/>
          </w:tblGrid>
        </w:tblGridChange>
      </w:tblGrid>
      <w:tr>
        <w:trPr>
          <w:trHeight w:val="3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Words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Know it Well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Have Heard or Seen 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No Clue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Definitions as Needed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Criteria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Constraints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Times New Roman" w:cs="Times New Roman" w:eastAsia="Times New Roman" w:hAnsi="Times New Roman"/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